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 w:before="0" w:line="240" w:lineRule="auto"/>
        <w:jc w:val="center"/>
      </w:pPr>
      <w:r>
        <w:rPr>
          <w:rFonts w:ascii="Times New Roman" w:hAnsi="Times New Roman" w:eastAsia="Times New Roman"/>
          <w:b/>
          <w:i w:val="0"/>
          <w:sz w:val="26"/>
          <w:u w:val="none"/>
        </w:rPr>
        <w:t>Изглед табле</w:t>
      </w:r>
    </w:p>
    <w:p>
      <w:pPr>
        <w:spacing w:after="180"/>
        <w:jc w:val="center"/>
      </w:pPr>
      <w:r>
        <w:drawing>
          <wp:inline xmlns:a="http://schemas.openxmlformats.org/drawingml/2006/main" xmlns:pic="http://schemas.openxmlformats.org/drawingml/2006/picture">
            <wp:extent cx="5472000" cy="268061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oard_diagram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72000" cy="26806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 w:before="0" w:line="240" w:lineRule="auto"/>
      </w:pPr>
      <w:r>
        <w:rPr>
          <w:rFonts w:ascii="Times New Roman" w:hAnsi="Times New Roman" w:eastAsia="Times New Roman"/>
          <w:b/>
          <w:i w:val="0"/>
          <w:sz w:val="24"/>
          <w:u w:val="single"/>
        </w:rPr>
        <w:t>Прилог 1</w:t>
      </w:r>
    </w:p>
    <w:p>
      <w:pPr>
        <w:spacing w:after="140"/>
      </w:pPr>
      <w:r>
        <w:drawing>
          <wp:inline xmlns:a="http://schemas.openxmlformats.org/drawingml/2006/main" xmlns:pic="http://schemas.openxmlformats.org/drawingml/2006/picture">
            <wp:extent cx="2520000" cy="860211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ebus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86021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 w:before="0" w:line="240" w:lineRule="auto"/>
      </w:pPr>
      <w:r>
        <w:rPr>
          <w:rFonts w:ascii="Times New Roman" w:hAnsi="Times New Roman" w:eastAsia="Times New Roman"/>
          <w:b/>
          <w:i w:val="0"/>
          <w:sz w:val="24"/>
          <w:u w:val="single"/>
        </w:rPr>
        <w:t>Прилог 2</w:t>
      </w:r>
    </w:p>
    <w:p>
      <w:pPr>
        <w:spacing w:after="60" w:before="0" w:line="240" w:lineRule="auto"/>
      </w:pPr>
      <w:r>
        <w:rPr>
          <w:rFonts w:ascii="Times New Roman" w:hAnsi="Times New Roman" w:eastAsia="Times New Roman"/>
          <w:b w:val="0"/>
          <w:i w:val="0"/>
          <w:sz w:val="24"/>
          <w:u w:val="none"/>
        </w:rPr>
        <w:t>Интегрални текст</w:t>
      </w:r>
    </w:p>
    <w:tbl>
      <w:tblPr>
        <w:tblW w:type="dxa" w:w="9300"/>
        <w:jc w:val="left"/>
        <w:tblLayout w:type="fixed"/>
        <w:tblLook w:firstColumn="1" w:firstRow="1" w:lastColumn="0" w:lastRow="0" w:noHBand="0" w:noVBand="1" w:val="04A0"/>
      </w:tblPr>
      <w:tblGrid>
        <w:gridCol w:w="1134"/>
        <w:gridCol w:w="8787"/>
      </w:tblGrid>
      <w:tr>
        <w:tc>
          <w:tcPr>
            <w:tcW w:type="dxa" w:w="1100"/>
            <w:tcMar>
              <w:top w:w="0" w:type="dxa"/>
              <w:start w:w="0" w:type="dxa"/>
              <w:bottom w:w="0" w:type="dxa"/>
              <w:end w:w="60" w:type="dxa"/>
            </w:tcMar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left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503999" cy="298522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small_paper_icon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999" cy="29852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200"/>
            <w:tcMar>
              <w:top w:w="0" w:type="dxa"/>
              <w:start w:w="0" w:type="dxa"/>
              <w:bottom w:w="0" w:type="dxa"/>
              <w:end w:w="60" w:type="dxa"/>
            </w:tcMar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252" w:lineRule="auto" w:after="120"/>
            </w:pPr>
            <w:r/>
            <w:r>
              <w:rPr>
                <w:rFonts w:ascii="Times New Roman" w:hAnsi="Times New Roman" w:eastAsia="Times New Roman"/>
                <w:b/>
                <w:i w:val="0"/>
                <w:sz w:val="21"/>
                <w:u w:val="single"/>
              </w:rPr>
              <w:t xml:space="preserve">Предак и потомак: </w:t>
            </w:r>
            <w:r>
              <w:rPr>
                <w:rFonts w:ascii="Times New Roman" w:hAnsi="Times New Roman" w:eastAsia="Times New Roman"/>
                <w:b w:val="0"/>
                <w:i w:val="0"/>
                <w:sz w:val="21"/>
                <w:u w:val="none"/>
              </w:rPr>
              <w:t xml:space="preserve">Преци су чланови наше породице од којих потичемо, који су се родили пре нас и захваљујући којима ми постојимо (наши родитељи, баба и деда, прабаба и прадеда, чукунбаба и чукундеда...). </w:t>
            </w:r>
            <w:r>
              <w:rPr>
                <w:rFonts w:ascii="Times New Roman" w:hAnsi="Times New Roman" w:eastAsia="Times New Roman"/>
                <w:b w:val="0"/>
                <w:i w:val="0"/>
                <w:sz w:val="21"/>
                <w:u w:val="single"/>
              </w:rPr>
              <w:t>Потомци</w:t>
            </w:r>
            <w:r>
              <w:rPr>
                <w:rFonts w:ascii="Times New Roman" w:hAnsi="Times New Roman" w:eastAsia="Times New Roman"/>
                <w:b w:val="0"/>
                <w:i w:val="0"/>
                <w:sz w:val="21"/>
                <w:u w:val="none"/>
              </w:rPr>
              <w:t xml:space="preserve"> су они који су се родили потом, тј. након предака (деца, унуци). Људи су током векова остављали многе трагове који данас служе као извори сазнања о прошлости. Историјски извори су: </w:t>
            </w:r>
            <w:r>
              <w:rPr>
                <w:rFonts w:ascii="Times New Roman" w:hAnsi="Times New Roman" w:eastAsia="Times New Roman"/>
                <w:b/>
                <w:i w:val="0"/>
                <w:sz w:val="21"/>
                <w:u w:val="none"/>
              </w:rPr>
              <w:t>усмени, писани и материјални.</w:t>
            </w:r>
            <w:r>
              <w:rPr>
                <w:rFonts w:ascii="Times New Roman" w:hAnsi="Times New Roman" w:eastAsia="Times New Roman"/>
                <w:b w:val="0"/>
                <w:i w:val="0"/>
                <w:sz w:val="21"/>
                <w:u w:val="none"/>
              </w:rPr>
              <w:t xml:space="preserve"> У усмене изворе спадају: приче, обичаји, легенде. Преносе се </w:t>
            </w:r>
            <w:r>
              <w:rPr>
                <w:rFonts w:ascii="Times New Roman" w:hAnsi="Times New Roman" w:eastAsia="Times New Roman"/>
                <w:b/>
                <w:i w:val="0"/>
                <w:sz w:val="21"/>
                <w:u w:val="none"/>
              </w:rPr>
              <w:t>„с колена на колено“.</w:t>
            </w:r>
            <w:r>
              <w:rPr>
                <w:rFonts w:ascii="Times New Roman" w:hAnsi="Times New Roman" w:eastAsia="Times New Roman"/>
                <w:b w:val="0"/>
                <w:i w:val="0"/>
                <w:sz w:val="21"/>
                <w:u w:val="none"/>
              </w:rPr>
              <w:t xml:space="preserve"> Чувају се у нашем сећању. Све оно што је записано како би се сачувало од заборава представља </w:t>
            </w:r>
            <w:r>
              <w:rPr>
                <w:rFonts w:ascii="Times New Roman" w:hAnsi="Times New Roman" w:eastAsia="Times New Roman"/>
                <w:b/>
                <w:i w:val="0"/>
                <w:sz w:val="21"/>
                <w:u w:val="none"/>
              </w:rPr>
              <w:t>писане историјске изворе.</w:t>
            </w:r>
            <w:r>
              <w:rPr>
                <w:rFonts w:ascii="Times New Roman" w:hAnsi="Times New Roman" w:eastAsia="Times New Roman"/>
                <w:b w:val="0"/>
                <w:i w:val="0"/>
                <w:sz w:val="21"/>
                <w:u w:val="none"/>
              </w:rPr>
              <w:t xml:space="preserve"> У њих спадају књиге, новине, писма и разна документа. Чувају се у библиотекама, архивима, а неки и у музејима, црквама и манастирима. </w:t>
            </w:r>
            <w:r>
              <w:rPr>
                <w:rFonts w:ascii="Times New Roman" w:hAnsi="Times New Roman" w:eastAsia="Times New Roman"/>
                <w:b/>
                <w:i w:val="0"/>
                <w:sz w:val="21"/>
                <w:u w:val="none"/>
              </w:rPr>
              <w:t>Материјални историјски извори</w:t>
            </w:r>
            <w:r>
              <w:rPr>
                <w:rFonts w:ascii="Times New Roman" w:hAnsi="Times New Roman" w:eastAsia="Times New Roman"/>
                <w:b w:val="0"/>
                <w:i w:val="0"/>
                <w:sz w:val="21"/>
                <w:u w:val="none"/>
              </w:rPr>
              <w:t xml:space="preserve"> су оруђе, оружје, посуђе, одећа, обућа, новац, накит, уметничке слике, фотографије, фреске, грађевине... Чувају се у музејима и на местима где су саграђени.</w:t>
            </w:r>
          </w:p>
        </w:tc>
      </w:tr>
    </w:tbl>
    <w:p>
      <w:pPr>
        <w:spacing w:after="0" w:before="80" w:line="240" w:lineRule="auto"/>
      </w:pPr>
      <w:r>
        <w:rPr>
          <w:rFonts w:ascii="Times New Roman" w:hAnsi="Times New Roman" w:eastAsia="Times New Roman"/>
          <w:b/>
          <w:i/>
          <w:sz w:val="21"/>
          <w:u w:val="none"/>
        </w:rPr>
        <w:t xml:space="preserve">*Ризница- </w:t>
      </w:r>
      <w:r>
        <w:rPr>
          <w:rFonts w:ascii="Times New Roman" w:hAnsi="Times New Roman" w:eastAsia="Times New Roman"/>
          <w:b w:val="0"/>
          <w:i w:val="0"/>
          <w:sz w:val="21"/>
          <w:u w:val="none"/>
        </w:rPr>
        <w:t>место где се чувају драгоцености, али и симбол за све оно што чини наше богатство – нашу културу, традицију и историју.</w:t>
      </w:r>
    </w:p>
    <w:p>
      <w:r>
        <w:br w:type="page"/>
      </w:r>
    </w:p>
    <w:p>
      <w:pPr>
        <w:spacing w:after="280" w:before="0" w:line="240" w:lineRule="auto"/>
      </w:pPr>
      <w:r>
        <w:rPr>
          <w:rFonts w:ascii="Times New Roman" w:hAnsi="Times New Roman" w:eastAsia="Times New Roman"/>
          <w:b/>
          <w:i w:val="0"/>
          <w:sz w:val="25"/>
          <w:u w:val="none"/>
        </w:rPr>
        <w:t>Напомена: Прилагођени интегрални текст за ученике са додатном подршком (ако их има у одељењу)</w:t>
      </w:r>
    </w:p>
    <w:tbl>
      <w:tblPr>
        <w:tblW w:type="dxa" w:w="6800"/>
        <w:jc w:val="left"/>
        <w:tblLook w:firstColumn="1" w:firstRow="1" w:lastColumn="0" w:lastRow="0" w:noHBand="0" w:noVBand="1" w:val="04A0"/>
      </w:tblPr>
      <w:tblGrid>
        <w:gridCol w:w="3383"/>
        <w:gridCol w:w="3383"/>
        <w:gridCol w:w="3383"/>
      </w:tblGrid>
      <w:tr>
        <w:tc>
          <w:tcPr>
            <w:tcW w:type="dxa" w:w="338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25"/>
                <w:u w:val="single"/>
              </w:rPr>
              <w:t>предак ←</w:t>
            </w:r>
          </w:p>
        </w:tc>
        <w:tc>
          <w:tcPr>
            <w:tcW w:type="dxa" w:w="338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b w:val="0"/>
                <w:sz w:val="25"/>
                <w:u w:val="none"/>
              </w:rPr>
              <w:t>ја</w:t>
            </w:r>
          </w:p>
        </w:tc>
        <w:tc>
          <w:tcPr>
            <w:tcW w:type="dxa" w:w="338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center"/>
            </w:pPr>
            <w:r/>
            <w:r>
              <w:rPr>
                <w:rFonts w:ascii="Times New Roman" w:hAnsi="Times New Roman" w:eastAsia="Times New Roman"/>
                <w:b/>
                <w:sz w:val="25"/>
                <w:u w:val="single"/>
              </w:rPr>
              <w:t>→ потомак</w:t>
            </w:r>
          </w:p>
        </w:tc>
      </w:tr>
      <w:tr>
        <w:tc>
          <w:tcPr>
            <w:tcW w:type="dxa" w:w="338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line="252" w:lineRule="auto"/>
              <w:jc w:val="left"/>
            </w:pPr>
            <w:r/>
            <w:r>
              <w:rPr>
                <w:rFonts w:ascii="Times New Roman" w:hAnsi="Times New Roman" w:eastAsia="Times New Roman"/>
                <w:sz w:val="23"/>
              </w:rPr>
              <w:t>↓</w:t>
            </w:r>
            <w:r>
              <w:br/>
            </w:r>
            <w:r>
              <w:rPr>
                <w:rFonts w:ascii="Times New Roman" w:hAnsi="Times New Roman" w:eastAsia="Times New Roman"/>
                <w:sz w:val="23"/>
              </w:rPr>
              <w:t>мама и тата</w:t>
            </w:r>
            <w:r>
              <w:br/>
            </w:r>
            <w:r>
              <w:rPr>
                <w:rFonts w:ascii="Times New Roman" w:hAnsi="Times New Roman" w:eastAsia="Times New Roman"/>
                <w:sz w:val="23"/>
              </w:rPr>
              <w:t>деда и баба</w:t>
            </w:r>
            <w:r>
              <w:br/>
            </w:r>
            <w:r>
              <w:rPr>
                <w:rFonts w:ascii="Times New Roman" w:hAnsi="Times New Roman" w:eastAsia="Times New Roman"/>
                <w:sz w:val="23"/>
              </w:rPr>
              <w:t>прабаба и прадеда..</w:t>
            </w:r>
          </w:p>
        </w:tc>
        <w:tc>
          <w:tcPr>
            <w:tcW w:type="dxa" w:w="338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line="252" w:lineRule="auto"/>
              <w:jc w:val="center"/>
            </w:pPr>
            <w:r/>
            <w:r>
              <w:rPr>
                <w:rFonts w:ascii="Times New Roman" w:hAnsi="Times New Roman" w:eastAsia="Times New Roman"/>
                <w:sz w:val="23"/>
              </w:rPr>
            </w:r>
          </w:p>
        </w:tc>
        <w:tc>
          <w:tcPr>
            <w:tcW w:type="dxa" w:w="338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line="252" w:lineRule="auto"/>
              <w:jc w:val="center"/>
            </w:pPr>
            <w:r/>
            <w:r>
              <w:rPr>
                <w:rFonts w:ascii="Times New Roman" w:hAnsi="Times New Roman" w:eastAsia="Times New Roman"/>
                <w:sz w:val="23"/>
              </w:rPr>
              <w:t>↓</w:t>
            </w:r>
            <w:r>
              <w:br/>
            </w:r>
            <w:r>
              <w:rPr>
                <w:rFonts w:ascii="Times New Roman" w:hAnsi="Times New Roman" w:eastAsia="Times New Roman"/>
                <w:sz w:val="23"/>
              </w:rPr>
              <w:t>деца, унуци предака</w:t>
            </w:r>
          </w:p>
        </w:tc>
      </w:tr>
    </w:tbl>
    <w:p>
      <w:pPr>
        <w:spacing w:after="120" w:before="0" w:line="240" w:lineRule="auto"/>
      </w:pPr>
    </w:p>
    <w:p>
      <w:pPr>
        <w:spacing w:after="200" w:before="0" w:line="240" w:lineRule="auto"/>
      </w:pPr>
      <w:r>
        <w:rPr>
          <w:rFonts w:ascii="Times New Roman" w:hAnsi="Times New Roman" w:eastAsia="Times New Roman"/>
          <w:b w:val="0"/>
          <w:i w:val="0"/>
          <w:sz w:val="25"/>
          <w:u w:val="single"/>
        </w:rPr>
        <w:t>Историјски извори – трагови прошлости су:</w:t>
      </w:r>
    </w:p>
    <w:p>
      <w:pPr>
        <w:spacing w:after="160"/>
        <w:ind w:left="113"/>
      </w:pPr>
      <w:r>
        <w:rPr>
          <w:rFonts w:ascii="Times New Roman" w:hAnsi="Times New Roman" w:eastAsia="Times New Roman"/>
          <w:sz w:val="24"/>
        </w:rPr>
        <w:t xml:space="preserve">☻ </w:t>
      </w:r>
      <w:r>
        <w:rPr>
          <w:rFonts w:ascii="Times New Roman" w:hAnsi="Times New Roman" w:eastAsia="Times New Roman"/>
          <w:b/>
          <w:sz w:val="24"/>
        </w:rPr>
        <w:t>Усмени</w:t>
      </w:r>
      <w:r>
        <w:rPr>
          <w:rFonts w:ascii="Times New Roman" w:hAnsi="Times New Roman" w:eastAsia="Times New Roman"/>
          <w:sz w:val="24"/>
        </w:rPr>
        <w:t xml:space="preserve"> – приче, обичаји, легенде (чувају се у сећању).</w:t>
      </w:r>
    </w:p>
    <w:p>
      <w:pPr>
        <w:spacing w:after="160"/>
        <w:ind w:left="113"/>
      </w:pPr>
      <w:r>
        <w:rPr>
          <w:rFonts w:ascii="Times New Roman" w:hAnsi="Times New Roman" w:eastAsia="Times New Roman"/>
          <w:sz w:val="24"/>
        </w:rPr>
        <w:t xml:space="preserve">▤ </w:t>
      </w:r>
      <w:r>
        <w:rPr>
          <w:rFonts w:ascii="Times New Roman" w:hAnsi="Times New Roman" w:eastAsia="Times New Roman"/>
          <w:b/>
          <w:sz w:val="24"/>
        </w:rPr>
        <w:t>Писани</w:t>
      </w:r>
      <w:r>
        <w:rPr>
          <w:rFonts w:ascii="Times New Roman" w:hAnsi="Times New Roman" w:eastAsia="Times New Roman"/>
          <w:sz w:val="24"/>
        </w:rPr>
        <w:t xml:space="preserve"> – књиге, писма, документи (чувају се у библиотекама, архивима, музејима).</w:t>
      </w:r>
    </w:p>
    <w:p>
      <w:pPr>
        <w:spacing w:after="160"/>
        <w:ind w:left="113"/>
      </w:pPr>
      <w:r>
        <w:rPr>
          <w:rFonts w:ascii="Times New Roman" w:hAnsi="Times New Roman" w:eastAsia="Times New Roman"/>
          <w:sz w:val="24"/>
        </w:rPr>
        <w:t xml:space="preserve">● </w:t>
      </w:r>
      <w:r>
        <w:rPr>
          <w:rFonts w:ascii="Times New Roman" w:hAnsi="Times New Roman" w:eastAsia="Times New Roman"/>
          <w:b/>
          <w:sz w:val="24"/>
        </w:rPr>
        <w:t>Материјални</w:t>
      </w:r>
      <w:r>
        <w:rPr>
          <w:rFonts w:ascii="Times New Roman" w:hAnsi="Times New Roman" w:eastAsia="Times New Roman"/>
          <w:sz w:val="24"/>
        </w:rPr>
        <w:t xml:space="preserve"> – одећа, новац, посуђе, грађевине... (чувају се у музејима и на местима где су саграђени).</w:t>
      </w:r>
    </w:p>
    <w:p>
      <w:pPr>
        <w:spacing w:after="160"/>
        <w:ind w:left="113"/>
      </w:pPr>
      <w:r>
        <w:rPr>
          <w:rFonts w:ascii="Times New Roman" w:hAnsi="Times New Roman" w:eastAsia="Times New Roman"/>
          <w:sz w:val="24"/>
        </w:rPr>
        <w:t xml:space="preserve">♦ </w:t>
      </w:r>
      <w:r>
        <w:rPr>
          <w:rFonts w:ascii="Times New Roman" w:hAnsi="Times New Roman" w:eastAsia="Times New Roman"/>
          <w:b/>
          <w:sz w:val="24"/>
        </w:rPr>
        <w:t>Ризница</w:t>
      </w:r>
      <w:r>
        <w:rPr>
          <w:rFonts w:ascii="Times New Roman" w:hAnsi="Times New Roman" w:eastAsia="Times New Roman"/>
          <w:sz w:val="24"/>
        </w:rPr>
        <w:t xml:space="preserve"> – место за драгоцености али и симбол за културу и традицију.</w:t>
      </w:r>
    </w:p>
    <w:p>
      <w:pPr>
        <w:spacing w:after="80" w:before="40" w:line="240" w:lineRule="auto"/>
      </w:pPr>
      <w:r>
        <w:rPr>
          <w:rFonts w:ascii="Times New Roman" w:hAnsi="Times New Roman" w:eastAsia="Times New Roman"/>
          <w:b/>
          <w:i w:val="0"/>
          <w:sz w:val="24"/>
          <w:u w:val="single"/>
        </w:rPr>
        <w:t>Прилог 3</w:t>
      </w:r>
    </w:p>
    <w:p>
      <w:pPr>
        <w:spacing w:after="240"/>
      </w:pPr>
      <w:r>
        <w:drawing>
          <wp:inline xmlns:a="http://schemas.openxmlformats.org/drawingml/2006/main" xmlns:pic="http://schemas.openxmlformats.org/drawingml/2006/picture">
            <wp:extent cx="2160000" cy="1895094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croll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89509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 w:before="0" w:line="240" w:lineRule="auto"/>
      </w:pPr>
      <w:r>
        <w:rPr>
          <w:rFonts w:ascii="Times New Roman" w:hAnsi="Times New Roman" w:eastAsia="Times New Roman"/>
          <w:b/>
          <w:i w:val="0"/>
          <w:sz w:val="24"/>
          <w:u w:val="single"/>
        </w:rPr>
        <w:t>Прилог 4</w:t>
      </w:r>
    </w:p>
    <w:p>
      <w:pPr>
        <w:spacing w:after="120" w:before="0" w:line="240" w:lineRule="auto"/>
      </w:pPr>
      <w:r>
        <w:rPr>
          <w:rFonts w:ascii="Times New Roman" w:hAnsi="Times New Roman" w:eastAsia="Times New Roman"/>
          <w:b w:val="0"/>
          <w:i w:val="0"/>
          <w:sz w:val="24"/>
          <w:u w:val="none"/>
        </w:rPr>
        <w:t>Мали радозналац-QR квиз:</w:t>
      </w:r>
    </w:p>
    <w:tbl>
      <w:tblPr>
        <w:tblW w:type="dxa" w:w="9000"/>
        <w:jc w:val="left"/>
        <w:tblLayout w:type="fixed"/>
        <w:tblLook w:firstColumn="1" w:firstRow="1" w:lastColumn="0" w:lastRow="0" w:noHBand="0" w:noVBand="1" w:val="04A0"/>
      </w:tblPr>
      <w:tblGrid>
        <w:gridCol w:w="1984"/>
        <w:gridCol w:w="7937"/>
      </w:tblGrid>
      <w:tr>
        <w:tc>
          <w:tcPr>
            <w:tcW w:type="dxa" w:w="230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start w:w="0" w:type="dxa"/>
              <w:bottom w:w="0" w:type="dxa"/>
              <w:end w:w="60" w:type="dxa"/>
            </w:tcMar>
            <w:vAlign w:val="center"/>
          </w:tcPr>
          <w:p>
            <w:r/>
            <w:r>
              <w:drawing>
                <wp:inline xmlns:a="http://schemas.openxmlformats.org/drawingml/2006/main" xmlns:pic="http://schemas.openxmlformats.org/drawingml/2006/picture">
                  <wp:extent cx="1007999" cy="1158386"/>
                  <wp:docPr id="5" name="Picture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r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7999" cy="115838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70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start w:w="250" w:type="dxa"/>
              <w:bottom w:w="0" w:type="dxa"/>
              <w:end w:w="60" w:type="dxa"/>
            </w:tcMar>
            <w:vAlign w:val="center"/>
          </w:tcPr>
          <w:p>
            <w:pPr>
              <w:spacing w:line="252" w:lineRule="auto"/>
            </w:pPr>
            <w:r/>
            <w:r>
              <w:rPr>
                <w:rFonts w:ascii="Times New Roman" w:hAnsi="Times New Roman" w:eastAsia="Times New Roman"/>
                <w:sz w:val="24"/>
              </w:rPr>
              <w:t>Мали радозналци, ово је QR код! Уз помоћ родитеља, дигиталног уређаја, скенирајте га и откријте забаван квиз! Поновите научено, сазнајте нешто ново и откријте адресе занимљивих музеја. Спремите се за авантуру знања!</w:t>
            </w:r>
          </w:p>
        </w:tc>
      </w:tr>
    </w:tbl>
    <w:sectPr w:rsidR="00FC693F" w:rsidRPr="0006063C" w:rsidSect="00034616">
      <w:pgSz w:w="11906" w:h="16838"/>
      <w:pgMar w:top="737" w:right="879" w:bottom="709" w:left="87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Откључавамо ризницу прошлости</dc:title>
  <dc:subject>Природа и друштво, 3. разред</dc:subject>
  <dc:creator/>
  <cp:keywords/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